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Cambria" w:hAnsi="Cambria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85950" cy="1419225"/>
            <wp:effectExtent l="0" t="0" r="0" b="0"/>
            <wp:wrapSquare wrapText="bothSides"/>
            <wp:docPr id="1" name="Picture 3" descr="hpms-logo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hpms-logo-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HRVATSKI POMORSKI MUZEJ SPLIT</w:t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Glagoljaša 18, 21000 Split </w:t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  <w:t>Centrala: tel. (+385) 21 347 346 / fax. (+385) 21 348 092</w:t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Ravnatelj: tel. (+385) 21 684 474/mob. (+385) 91 500 4763 </w:t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e-mail: hpms@hpms.hr </w:t>
      </w:r>
    </w:p>
    <w:p>
      <w:pPr>
        <w:pStyle w:val="NoSpacing"/>
        <w:rPr>
          <w:rFonts w:ascii="Cambria" w:hAnsi="Cambria"/>
        </w:rPr>
      </w:pPr>
      <w:hyperlink r:id="rId3" w:tgtFrame="_blank">
        <w:r>
          <w:rPr>
            <w:rStyle w:val="ListLabel82"/>
            <w:color w:val="0000FF"/>
            <w:u w:val="single"/>
          </w:rPr>
          <w:t>http://www.hpms.hr</w:t>
        </w:r>
      </w:hyperlink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  <w:t>IBAN: HR5823400091110814861</w:t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  <w:t>MB 01363263 / OIB 91912897567</w:t>
      </w:r>
    </w:p>
    <w:p>
      <w:pPr>
        <w:pStyle w:val="Title"/>
        <w:jc w:val="left"/>
        <w:rPr>
          <w:b w:val="false"/>
        </w:rPr>
      </w:pPr>
      <w:r>
        <w:rPr>
          <w:b w:val="false"/>
        </w:rPr>
      </w:r>
    </w:p>
    <w:p>
      <w:pPr>
        <w:pStyle w:val="Title"/>
        <w:jc w:val="left"/>
        <w:rPr>
          <w:b w:val="false"/>
        </w:rPr>
      </w:pPr>
      <w:r>
        <w:rPr>
          <w:b w:val="false"/>
        </w:rPr>
      </w:r>
    </w:p>
    <w:p>
      <w:pPr>
        <w:pStyle w:val="Title"/>
        <w:jc w:val="left"/>
        <w:rPr>
          <w:b w:val="false"/>
        </w:rPr>
      </w:pPr>
      <w:r>
        <w:rPr>
          <w:b w:val="false"/>
        </w:rPr>
        <w:t>Broj RKP-a: 37566</w:t>
      </w:r>
    </w:p>
    <w:p>
      <w:pPr>
        <w:pStyle w:val="Title"/>
        <w:jc w:val="left"/>
        <w:rPr>
          <w:b w:val="false"/>
        </w:rPr>
      </w:pPr>
      <w:r>
        <w:rPr>
          <w:b w:val="false"/>
        </w:rPr>
        <w:t>Matični broj: 01363263</w:t>
      </w:r>
    </w:p>
    <w:p>
      <w:pPr>
        <w:pStyle w:val="Title"/>
        <w:jc w:val="left"/>
        <w:rPr>
          <w:b w:val="false"/>
        </w:rPr>
      </w:pPr>
      <w:r>
        <w:rPr>
          <w:b w:val="false"/>
        </w:rPr>
        <w:t>OIB: 91912897567</w:t>
      </w:r>
    </w:p>
    <w:p>
      <w:pPr>
        <w:pStyle w:val="Title"/>
        <w:jc w:val="left"/>
        <w:rPr>
          <w:b w:val="false"/>
        </w:rPr>
      </w:pPr>
      <w:r>
        <w:rPr>
          <w:b w:val="false"/>
        </w:rPr>
        <w:t>Naziv obveznika: Hrvatski pomorski muzej Split</w:t>
      </w:r>
    </w:p>
    <w:p>
      <w:pPr>
        <w:pStyle w:val="Title"/>
        <w:jc w:val="left"/>
        <w:rPr>
          <w:b w:val="false"/>
        </w:rPr>
      </w:pPr>
      <w:r>
        <w:rPr>
          <w:b w:val="false"/>
        </w:rPr>
        <w:t xml:space="preserve">                             </w:t>
      </w:r>
    </w:p>
    <w:p>
      <w:pPr>
        <w:pStyle w:val="Title"/>
        <w:jc w:val="left"/>
        <w:rPr>
          <w:b w:val="false"/>
        </w:rPr>
      </w:pPr>
      <w:r>
        <w:rPr>
          <w:b w:val="false"/>
        </w:rPr>
        <w:t>Šifra djelatnosti: 9102</w:t>
      </w:r>
    </w:p>
    <w:p>
      <w:pPr>
        <w:pStyle w:val="Title"/>
        <w:jc w:val="left"/>
        <w:rPr>
          <w:b w:val="false"/>
        </w:rPr>
      </w:pPr>
      <w:r>
        <w:rPr>
          <w:b w:val="false"/>
        </w:rPr>
        <w:t>Razdjel: 000</w:t>
      </w:r>
    </w:p>
    <w:p>
      <w:pPr>
        <w:pStyle w:val="Title"/>
        <w:jc w:val="left"/>
        <w:rPr>
          <w:b w:val="false"/>
        </w:rPr>
      </w:pPr>
      <w:r>
        <w:rPr>
          <w:b w:val="false"/>
        </w:rPr>
        <w:t>Šifra grada: 409</w:t>
      </w:r>
    </w:p>
    <w:p>
      <w:pPr>
        <w:pStyle w:val="Title"/>
        <w:jc w:val="left"/>
        <w:rPr>
          <w:b w:val="false"/>
        </w:rPr>
      </w:pPr>
      <w:r>
        <w:rPr>
          <w:b w:val="false"/>
        </w:rPr>
      </w:r>
    </w:p>
    <w:p>
      <w:pPr>
        <w:pStyle w:val="Title"/>
        <w:jc w:val="left"/>
        <w:rPr/>
      </w:pPr>
      <w:r>
        <w:rPr/>
      </w:r>
    </w:p>
    <w:p>
      <w:pPr>
        <w:pStyle w:val="Title"/>
        <w:rPr/>
      </w:pPr>
      <w:r>
        <w:rPr/>
        <w:t>BILJEŠKE UZ FINANCIJSKE IZVJEŠTAJE HRVATSKOG POMORSKOG  MUZEJA SPLIT ZA 1-12/ 2024.</w:t>
      </w:r>
    </w:p>
    <w:p>
      <w:pPr>
        <w:pStyle w:val="Title"/>
        <w:rPr/>
      </w:pPr>
      <w:r>
        <w:rPr/>
      </w:r>
    </w:p>
    <w:p>
      <w:pPr>
        <w:pStyle w:val="Title"/>
        <w:jc w:val="both"/>
        <w:rPr>
          <w:b w:val="false"/>
        </w:rPr>
      </w:pPr>
      <w:r>
        <w:rPr>
          <w:b w:val="false"/>
        </w:rPr>
        <w:t xml:space="preserve">Financijski izvještaji Hrvatskog pomorskog  muzeja Split sastavljeni su na temelju  Pravilnika o proračunskom računovodstvu i računskom planu (NN 158/23) i Pravilnika o financijskom izvještavanju u proračunskom računovodstvu (NN 37/22). Sukladno odredbama navedenih Pravilnika Muzej sastavlja i predaje nadležnim institucijama sljedeće izvještaje: Bilancu (Bil), Izvještaj o prihodima i rashodima, primitcima i izdatcima (PR-RAS), Izvještaj o promjenama u vrijednosti i obujmu imovine i obveza (P-VRIO), Izvještaj o rashodima po funkcijskoj klasifikaciji (RAS-funkcijski) i Izvještaj o obvezama (Obveze). </w:t>
      </w:r>
    </w:p>
    <w:p>
      <w:pPr>
        <w:pStyle w:val="Title"/>
        <w:jc w:val="both"/>
        <w:rPr>
          <w:b w:val="false"/>
        </w:rPr>
      </w:pPr>
      <w:r>
        <w:rPr>
          <w:b w:val="false"/>
        </w:rPr>
        <w:t>Sukladno čl. 13. Pravilnika o financijskom izvještavanju u proračunskom računovodstvu Bilješke su sastavni dio financijskih izvještaja, a svrha im je davanje informacija o uspješnosti poslovanja, financijskom položaju i sl., a koje nisu vidljive iz obveznih financijskih izvještaja. Kod izrade financijskih izvještaja rukovodilo se i Okružnicom o predaji financijskih izvještaja proračuna, proračunskih i izvanproračunskih korisnika državnog proračuna te proračunskih i izvanproračunskih korisnika proračuna JLPS za razdoblje 1. siječnja do 31. prosinca 2024., a koju je uputilo Ministarstvo financija.</w:t>
      </w:r>
    </w:p>
    <w:p>
      <w:pPr>
        <w:pStyle w:val="Title"/>
        <w:jc w:val="both"/>
        <w:rPr>
          <w:b w:val="false"/>
        </w:rPr>
      </w:pPr>
      <w:r>
        <w:rPr>
          <w:b w:val="false"/>
        </w:rPr>
      </w:r>
    </w:p>
    <w:p>
      <w:pPr>
        <w:pStyle w:val="Title"/>
        <w:jc w:val="both"/>
        <w:rPr>
          <w:b w:val="false"/>
        </w:rPr>
      </w:pPr>
      <w:r>
        <w:rPr>
          <w:b w:val="false"/>
        </w:rPr>
        <w:t>Hrvatski pomorski muzej Split obavlja isključivo muzejsku djelatnost, određenu Zakonom o muzejima i Statutom, te je poslovanje muzeja u ovoj godini  rezultat obavljanja takve djelatnosti.</w:t>
      </w:r>
    </w:p>
    <w:p>
      <w:pPr>
        <w:pStyle w:val="Title"/>
        <w:jc w:val="both"/>
        <w:rPr>
          <w:b w:val="false"/>
        </w:rPr>
      </w:pPr>
      <w:r>
        <w:rPr>
          <w:b w:val="false"/>
        </w:rPr>
      </w:r>
    </w:p>
    <w:p>
      <w:pPr>
        <w:pStyle w:val="Title"/>
        <w:jc w:val="both"/>
        <w:rPr>
          <w:b w:val="false"/>
        </w:rPr>
      </w:pPr>
      <w:r>
        <w:rPr>
          <w:b w:val="false"/>
        </w:rPr>
        <w:t>Bilješke uz financijske izvještaje kao i same financijske izvještaje sastavlja i odgovoran je  voditelj računovodstva, a u Muzeju je to Mirjana Jović.</w:t>
      </w:r>
    </w:p>
    <w:p>
      <w:pPr>
        <w:pStyle w:val="Title"/>
        <w:jc w:val="both"/>
        <w:rPr>
          <w:b w:val="false"/>
        </w:rPr>
      </w:pPr>
      <w:r>
        <w:rPr>
          <w:b w:val="false"/>
        </w:rPr>
        <w:t>Odgovorna osoba za Muzej u cjelini je ravnatelj Ljubomir Radić.</w:t>
      </w:r>
    </w:p>
    <w:p>
      <w:pPr>
        <w:pStyle w:val="Title"/>
        <w:jc w:val="both"/>
        <w:rPr>
          <w:i/>
          <w:i/>
        </w:rPr>
      </w:pPr>
      <w:r>
        <w:rPr>
          <w:i/>
        </w:rPr>
      </w:r>
    </w:p>
    <w:p>
      <w:pPr>
        <w:pStyle w:val="Title"/>
        <w:jc w:val="left"/>
        <w:rPr>
          <w:i/>
          <w:i/>
        </w:rPr>
      </w:pPr>
      <w:r>
        <w:rPr>
          <w:i/>
        </w:rPr>
      </w:r>
    </w:p>
    <w:p>
      <w:pPr>
        <w:pStyle w:val="Title"/>
        <w:jc w:val="left"/>
        <w:rPr>
          <w:i/>
          <w:i/>
        </w:rPr>
      </w:pPr>
      <w:r>
        <w:rPr>
          <w:i/>
        </w:rPr>
      </w:r>
    </w:p>
    <w:p>
      <w:pPr>
        <w:pStyle w:val="Title"/>
        <w:jc w:val="left"/>
        <w:rPr>
          <w:i/>
          <w:i/>
        </w:rPr>
      </w:pPr>
      <w:r>
        <w:rPr>
          <w:i/>
        </w:rPr>
      </w:r>
    </w:p>
    <w:p>
      <w:pPr>
        <w:pStyle w:val="Title"/>
        <w:jc w:val="left"/>
        <w:rPr>
          <w:i/>
          <w:i/>
        </w:rPr>
      </w:pPr>
      <w:r>
        <w:rPr>
          <w:i/>
        </w:rPr>
      </w:r>
    </w:p>
    <w:p>
      <w:pPr>
        <w:pStyle w:val="Title"/>
        <w:jc w:val="left"/>
        <w:rPr>
          <w:i/>
          <w:i/>
        </w:rPr>
      </w:pPr>
      <w:r>
        <w:rPr>
          <w:i/>
        </w:rPr>
      </w:r>
    </w:p>
    <w:p>
      <w:pPr>
        <w:pStyle w:val="Title"/>
        <w:rPr>
          <w:i/>
          <w:i/>
        </w:rPr>
      </w:pPr>
      <w:r>
        <w:rPr>
          <w:i/>
        </w:rPr>
        <w:t>BILJEŠKE</w:t>
      </w:r>
    </w:p>
    <w:p>
      <w:pPr>
        <w:pStyle w:val="Title"/>
        <w:rPr>
          <w:i/>
          <w:i/>
        </w:rPr>
      </w:pPr>
      <w:r>
        <w:rPr>
          <w:i/>
        </w:rPr>
        <w:t>uz IZVJEŠTAJ O PRIHODIMA I RASHODIMA, PRIMICIMA I IZDACIMA ZA OBRAČUNSKO RAZDOBLJE 1.01. – 31.12. 2024.</w:t>
      </w:r>
    </w:p>
    <w:p>
      <w:pPr>
        <w:pStyle w:val="Title"/>
        <w:rPr>
          <w:i/>
          <w:i/>
        </w:rPr>
      </w:pPr>
      <w:r>
        <w:rPr>
          <w:i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b/>
          <w:bCs/>
          <w:lang w:val="hr-HR"/>
        </w:rPr>
        <w:t>UKUPNI PRIHODI</w:t>
      </w:r>
      <w:r>
        <w:rPr>
          <w:lang w:val="hr-HR"/>
        </w:rPr>
        <w:tab/>
        <w:t xml:space="preserve">                                                                               </w:t>
      </w:r>
      <w:r>
        <w:rPr>
          <w:b/>
          <w:lang w:val="hr-HR"/>
        </w:rPr>
        <w:t>584.038,77</w:t>
      </w:r>
      <w:r>
        <w:rPr>
          <w:lang w:val="hr-HR"/>
        </w:rPr>
        <w:tab/>
        <w:tab/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ab/>
        <w:tab/>
        <w:tab/>
      </w:r>
    </w:p>
    <w:p>
      <w:pPr>
        <w:pStyle w:val="Normal"/>
        <w:rPr>
          <w:lang w:val="hr-HR"/>
        </w:rPr>
      </w:pPr>
      <w:r>
        <w:rPr>
          <w:lang w:val="hr-HR"/>
        </w:rPr>
        <w:t>Tekući prihod       .....................................................................................584.038,77</w:t>
      </w:r>
    </w:p>
    <w:p>
      <w:pPr>
        <w:pStyle w:val="Normal"/>
        <w:ind w:left="720"/>
        <w:rPr>
          <w:lang w:val="hr-HR"/>
        </w:rPr>
      </w:pPr>
      <w:r>
        <w:rPr>
          <w:lang w:val="hr-HR"/>
        </w:rPr>
      </w:r>
    </w:p>
    <w:p>
      <w:pPr>
        <w:pStyle w:val="Normal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>Nadležni proračun – proračun Grada Splita ...............................484.196,21</w:t>
        <w:tab/>
        <w:t xml:space="preserve">        </w:t>
      </w:r>
    </w:p>
    <w:p>
      <w:pPr>
        <w:pStyle w:val="Normal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>Nenadležni proračun – proračun  RH    ....................................... 25.300,00</w:t>
      </w:r>
    </w:p>
    <w:p>
      <w:pPr>
        <w:pStyle w:val="Normal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 xml:space="preserve">Nenadležni proračun – proračun SDŽ   ........................................41.500,00 </w:t>
      </w:r>
    </w:p>
    <w:p>
      <w:pPr>
        <w:pStyle w:val="Normal"/>
        <w:ind w:left="720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Cs/>
          <w:lang w:val="hr-HR"/>
        </w:rPr>
        <w:tab/>
      </w:r>
      <w:r>
        <w:rPr>
          <w:b/>
          <w:bCs/>
          <w:lang w:val="hr-HR"/>
        </w:rPr>
        <w:tab/>
        <w:tab/>
        <w:tab/>
        <w:tab/>
        <w:tab/>
        <w:tab/>
        <w:tab/>
        <w:t xml:space="preserve">     </w:t>
      </w:r>
    </w:p>
    <w:p>
      <w:pPr>
        <w:pStyle w:val="Normal"/>
        <w:numPr>
          <w:ilvl w:val="0"/>
          <w:numId w:val="2"/>
        </w:numPr>
        <w:rPr>
          <w:lang w:val="hr-HR"/>
        </w:rPr>
      </w:pPr>
      <w:r>
        <w:rPr>
          <w:lang w:val="hr-HR"/>
        </w:rPr>
        <w:t>prihodi ostvareni po posebnim propisima – ulaznice.................... 24.706,41</w:t>
      </w:r>
    </w:p>
    <w:p>
      <w:pPr>
        <w:pStyle w:val="Normal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prihodi od prodane literature i suvenira                    ........................6.945,02 </w:t>
      </w:r>
    </w:p>
    <w:p>
      <w:pPr>
        <w:pStyle w:val="Normal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prihodi od pruženih usluga                                        ........................1.341,61                             </w:t>
      </w:r>
    </w:p>
    <w:p>
      <w:pPr>
        <w:pStyle w:val="Normal"/>
        <w:numPr>
          <w:ilvl w:val="0"/>
          <w:numId w:val="2"/>
        </w:numPr>
        <w:rPr/>
      </w:pPr>
      <w:r>
        <w:rPr>
          <w:lang w:val="hr-HR"/>
        </w:rPr>
        <w:t>prihodi od financijske imovine                                  .............................49,52</w:t>
      </w:r>
    </w:p>
    <w:p>
      <w:pPr>
        <w:pStyle w:val="Normal"/>
        <w:ind w:left="788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Heading1"/>
        <w:rPr/>
      </w:pPr>
      <w:r>
        <w:rPr/>
        <w:t>ŠIFRA 6/ PRIHODI POSLOVANJA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Prihodi poslovanja su ostvareni u iznosu od 584.038,77 EUR i veći su za 33,1%  u odnosu na prethodnu godinu prvenstveno zbog rasta prihoda iz nadležnog proračuna, ali i rasta svih ostalih prihoda.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Struktura prihoda dana je u donjoj tabeli.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</w:t>
      </w:r>
    </w:p>
    <w:tbl>
      <w:tblPr>
        <w:tblW w:w="81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"/>
        <w:gridCol w:w="2779"/>
        <w:gridCol w:w="2491"/>
        <w:gridCol w:w="1951"/>
      </w:tblGrid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hr-HR"/>
              </w:rPr>
            </w:pPr>
            <w:r>
              <w:rPr>
                <w:lang w:val="hr-HR"/>
              </w:rPr>
              <w:t>Račun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hr-HR"/>
              </w:rPr>
            </w:pPr>
            <w:r>
              <w:rPr>
                <w:lang w:val="hr-HR"/>
              </w:rPr>
              <w:t>Vrsta prihoda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hr-HR"/>
              </w:rPr>
            </w:pPr>
            <w:r>
              <w:rPr>
                <w:lang w:val="hr-HR"/>
              </w:rPr>
              <w:t>Ostvareno 2023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hr-HR"/>
              </w:rPr>
            </w:pPr>
            <w:r>
              <w:rPr>
                <w:lang w:val="hr-HR"/>
              </w:rPr>
              <w:t>Ostvareno 2024</w:t>
            </w:r>
          </w:p>
        </w:tc>
      </w:tr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632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EU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57.796,53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</w:tr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636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Prih. iz. nenadl. pror.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23.392,50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25.300,00</w:t>
            </w:r>
          </w:p>
        </w:tc>
      </w:tr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636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Prih.iz županijskog pror.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5.000,00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41.500,00</w:t>
            </w:r>
          </w:p>
        </w:tc>
      </w:tr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641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Prih. od kam. po viđ.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23,64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49,52</w:t>
            </w:r>
          </w:p>
        </w:tc>
      </w:tr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652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Prih. po posebnim</w:t>
            </w:r>
          </w:p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propisima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16.534,00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24.706,41</w:t>
            </w:r>
          </w:p>
        </w:tc>
      </w:tr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671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Prih. iz nadl. proračuna – Grad Split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324.557,72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lang w:val="hr-HR"/>
              </w:rPr>
              <w:t>484.196,21</w:t>
            </w:r>
          </w:p>
        </w:tc>
      </w:tr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661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Prihodi od pruženih usluga i prod.proiz.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11.397,78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  <w:t>8.286,63</w:t>
            </w:r>
          </w:p>
        </w:tc>
      </w:tr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663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Ostalo /Tekuće donacije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683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hr-HR"/>
              </w:rPr>
            </w:pPr>
            <w:r>
              <w:rPr>
                <w:lang w:val="hr-HR"/>
              </w:rPr>
              <w:t>Ostali prihodi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438.702,17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584.038,77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b/>
          <w:bCs/>
        </w:rPr>
      </w:pPr>
      <w:r>
        <w:rPr>
          <w:b/>
          <w:bCs/>
          <w:u w:val="single"/>
          <w:lang w:val="hr-HR"/>
        </w:rPr>
        <w:t>ŠIFRA 636 / POMOĆI PROR. KOR. IZ PRORAČUNA KOJI IM NIJE NADLEŽAN</w:t>
      </w:r>
    </w:p>
    <w:p>
      <w:pPr>
        <w:pStyle w:val="Normal"/>
        <w:rPr>
          <w:u w:val="single"/>
          <w:lang w:val="hr-HR"/>
        </w:rPr>
      </w:pPr>
      <w:r>
        <w:rPr>
          <w:u w:val="single"/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Iz nenadležnih proračuna je ostvareno 28.392,50 EUR i to:</w:t>
      </w:r>
    </w:p>
    <w:p>
      <w:pPr>
        <w:pStyle w:val="Normal"/>
        <w:numPr>
          <w:ilvl w:val="0"/>
          <w:numId w:val="3"/>
        </w:numPr>
        <w:rPr>
          <w:lang w:val="hr-HR"/>
        </w:rPr>
      </w:pPr>
      <w:r>
        <w:rPr>
          <w:lang w:val="hr-HR"/>
        </w:rPr>
        <w:t>MINISTARSTVO KULTURE......................................25.300,00</w:t>
      </w:r>
    </w:p>
    <w:p>
      <w:pPr>
        <w:pStyle w:val="Normal"/>
        <w:numPr>
          <w:ilvl w:val="0"/>
          <w:numId w:val="3"/>
        </w:numPr>
        <w:rPr>
          <w:lang w:val="hr-HR"/>
        </w:rPr>
      </w:pPr>
      <w:r>
        <w:rPr>
          <w:lang w:val="hr-HR"/>
        </w:rPr>
        <w:t>SDŽ                                          .......................................41.500,00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PRIHODI IZ PRORAČUNA - MINISTARSTVO KULTURE RH – nenadležni proračun</w:t>
      </w:r>
    </w:p>
    <w:p>
      <w:pPr>
        <w:pStyle w:val="Normal"/>
        <w:rPr>
          <w:lang w:val="hr-HR"/>
        </w:rPr>
      </w:pPr>
      <w:r>
        <w:rPr>
          <w:lang w:val="hr-HR"/>
        </w:rPr>
        <w:t>Prihodi iz  proračuna MK RH ostvareni su u iznosu od 25.300 EUR.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To je rezultat ocjene  apliciranih programa na Natječaj za predlaganje programa javnih potreba u kulturi RH za 2024. od strane  Povjerenstva za dodjelu sredstava.  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Pregled programa s iznosima potpora:</w:t>
      </w:r>
    </w:p>
    <w:p>
      <w:pPr>
        <w:pStyle w:val="Normal"/>
        <w:rPr>
          <w:lang w:val="hr-HR"/>
        </w:rPr>
      </w:pPr>
      <w:r>
        <w:rPr/>
        <w:t xml:space="preserve">       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>
          <w:color w:val="000000"/>
          <w:u w:val="single"/>
          <w:lang w:val="hr-HR"/>
        </w:rPr>
        <w:t>međunarodna kulturna suradnja:</w:t>
      </w:r>
    </w:p>
    <w:p>
      <w:pPr>
        <w:pStyle w:val="Normal"/>
        <w:rPr>
          <w:color w:val="000000"/>
        </w:rPr>
      </w:pPr>
      <w:r>
        <w:rPr>
          <w:color w:val="000000"/>
          <w:lang w:val="hr-HR"/>
        </w:rPr>
        <w:t xml:space="preserve">               </w:t>
      </w:r>
      <w:r>
        <w:rPr>
          <w:color w:val="000000"/>
          <w:lang w:val="hr-HR"/>
        </w:rPr>
        <w:t>- SLOVENSKI BRODOVI - 6 brodova Splošne plovidbe          ................1.700,00</w:t>
      </w:r>
    </w:p>
    <w:p>
      <w:pPr>
        <w:pStyle w:val="Normal"/>
        <w:numPr>
          <w:ilvl w:val="0"/>
          <w:numId w:val="5"/>
        </w:numPr>
        <w:rPr>
          <w:lang w:val="hr-HR"/>
        </w:rPr>
      </w:pPr>
      <w:r>
        <w:rPr>
          <w:u w:val="single"/>
          <w:lang w:val="hr-HR"/>
        </w:rPr>
        <w:t>program muzejske djelatnosti: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            </w:t>
      </w:r>
      <w:r>
        <w:rPr>
          <w:lang w:val="hr-HR"/>
        </w:rPr>
        <w:t xml:space="preserve">- program restauracije građe i nabavke materijala za 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              </w:t>
      </w:r>
      <w:r>
        <w:rPr>
          <w:lang w:val="hr-HR"/>
        </w:rPr>
        <w:t>preventivnu zaštitu                                                                      ................3.600,00</w:t>
      </w:r>
    </w:p>
    <w:p>
      <w:pPr>
        <w:pStyle w:val="Normal"/>
        <w:rPr>
          <w:lang w:val="hr-HR"/>
        </w:rPr>
      </w:pPr>
      <w:r>
        <w:rPr/>
        <w:t xml:space="preserve">              </w:t>
      </w:r>
      <w:r>
        <w:rPr/>
        <w:t>- izložbena događanja u Hrvatskom pomorskom</w:t>
      </w:r>
    </w:p>
    <w:p>
      <w:pPr>
        <w:pStyle w:val="Normal"/>
        <w:rPr>
          <w:lang w:val="hr-HR"/>
        </w:rPr>
      </w:pPr>
      <w:r>
        <w:rPr/>
        <w:t xml:space="preserve">                 </w:t>
      </w:r>
      <w:r>
        <w:rPr/>
        <w:t>muzeju Split                                                                               …………4.000,00</w:t>
      </w:r>
    </w:p>
    <w:p>
      <w:pPr>
        <w:pStyle w:val="Normal"/>
        <w:numPr>
          <w:ilvl w:val="0"/>
          <w:numId w:val="6"/>
        </w:numPr>
        <w:rPr/>
      </w:pPr>
      <w:r>
        <w:rPr>
          <w:u w:val="single"/>
          <w:lang w:val="hr-HR"/>
        </w:rPr>
        <w:t>program zaštite i očuvanja podvodne arheološke baštine:</w:t>
      </w:r>
    </w:p>
    <w:p>
      <w:pPr>
        <w:pStyle w:val="Normal"/>
        <w:ind w:left="720"/>
        <w:rPr/>
      </w:pPr>
      <w:r>
        <w:rPr>
          <w:lang w:val="hr-HR"/>
        </w:rPr>
        <w:t xml:space="preserve">   </w:t>
      </w:r>
      <w:r>
        <w:rPr>
          <w:lang w:val="hr-HR"/>
        </w:rPr>
        <w:t>- Kaštelanski zaljev (Slatine na Čiovu) antički brodolom</w:t>
      </w:r>
    </w:p>
    <w:p>
      <w:pPr>
        <w:pStyle w:val="Normal"/>
        <w:ind w:left="720"/>
        <w:rPr>
          <w:lang w:val="hr-HR"/>
        </w:rPr>
      </w:pPr>
      <w:r>
        <w:rPr>
          <w:lang w:val="hr-HR"/>
        </w:rPr>
        <w:t xml:space="preserve">      </w:t>
      </w:r>
      <w:r>
        <w:rPr>
          <w:lang w:val="hr-HR"/>
        </w:rPr>
        <w:t>za  arheološka istraživanja                                                        ..............16.000,00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                       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                                                                </w:t>
      </w:r>
    </w:p>
    <w:p>
      <w:pPr>
        <w:pStyle w:val="Normal"/>
        <w:rPr>
          <w:lang w:val="hr-HR"/>
        </w:rPr>
      </w:pPr>
      <w:r>
        <w:rPr>
          <w:lang w:val="hr-HR"/>
        </w:rPr>
        <w:t>PRIHODI IZ PRORAČUNA  - SDŽ – nenadležni proračun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Natječaji za predlaganje programa za 2024. godinu za područje kulture  i pomorske baštine objavljeni su u veljači 2024. </w:t>
      </w:r>
    </w:p>
    <w:p>
      <w:pPr>
        <w:pStyle w:val="Normal"/>
        <w:rPr>
          <w:lang w:val="hr-HR"/>
        </w:rPr>
      </w:pPr>
      <w:r>
        <w:rPr>
          <w:lang w:val="hr-HR"/>
        </w:rPr>
        <w:t>Na natječaj potreba u kulturi Muzej se prijavio s projektima izložbe i katalog „Podvodna baština Splitsko – dalmatinske županije“ za što je odobreno 30.000,00 EUR, sufinanciranje projekta „Arheološka istraživanja srednjovjekovne crkve sv. Andrije i samostana na otoku Svecu</w:t>
      </w:r>
      <w:r>
        <w:rPr>
          <w:color w:val="000000"/>
          <w:lang w:val="hr-HR"/>
        </w:rPr>
        <w:t>” za što je odobreno 6.000,00 EUR i „Stogodišnjaci iz našeg mula – anatomija drvene brodogradnje ”  za što je odobreno 3.500,00 EUR, financijsku potporu projekta „Filmovi u stalnom postavu vojnog pomorstva” za što je odobreno 2.000,00 EUR,</w:t>
      </w:r>
      <w:r>
        <w:rPr>
          <w:lang w:val="hr-HR"/>
        </w:rPr>
        <w:t xml:space="preserve"> </w:t>
      </w:r>
      <w:r>
        <w:rPr>
          <w:color w:val="000000"/>
          <w:lang w:val="hr-HR"/>
        </w:rPr>
        <w:t>te grafička priprema i tiskanje knjige „Obrana Jadrana u hrvatskom ratu za neovisnost 1991.”, autora Stjepana Loze za što je odobreno 2.000,00 EUR.</w:t>
      </w:r>
      <w:r>
        <w:rPr>
          <w:lang w:val="hr-HR"/>
        </w:rPr>
        <w:t xml:space="preserve"> </w:t>
      </w:r>
    </w:p>
    <w:p>
      <w:pPr>
        <w:pStyle w:val="Normal"/>
        <w:rPr>
          <w:lang w:val="hr-HR"/>
        </w:rPr>
      </w:pPr>
      <w:r>
        <w:rPr>
          <w:lang w:val="hr-HR"/>
        </w:rPr>
        <w:t>Za tiskanje knjige autora Stjepana Loze sredstva će biti uplaćena u 2025. a troškovi su realizirani u 2024. godini.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lang w:val="hr-HR"/>
        </w:rPr>
      </w:pPr>
      <w:r>
        <w:rPr>
          <w:b/>
          <w:bCs/>
          <w:u w:val="single"/>
          <w:lang w:val="hr-HR"/>
        </w:rPr>
        <w:t>ŠIFRA 65 / PRIHODI PO</w:t>
      </w:r>
      <w:r>
        <w:rPr>
          <w:lang w:val="hr-HR"/>
        </w:rPr>
        <w:t xml:space="preserve"> </w:t>
      </w:r>
      <w:r>
        <w:rPr>
          <w:b/>
          <w:bCs/>
          <w:u w:val="single"/>
          <w:lang w:val="hr-HR"/>
        </w:rPr>
        <w:t>POSEBNIM PROPISIMA (prihodi od prodaje ulaznica, tiskovina )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Ukupno ostvareni prihodi od vlastite djelatnosti – ulaznice  iznosi 24.706,41 EUR. 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U ukupnim prihodima čine </w:t>
      </w:r>
      <w:r>
        <w:rPr>
          <w:shd w:fill="FFFFFF" w:val="clear"/>
          <w:lang w:val="hr-HR"/>
        </w:rPr>
        <w:t>4,2</w:t>
      </w:r>
      <w:r>
        <w:rPr>
          <w:lang w:val="hr-HR"/>
        </w:rPr>
        <w:t>%, a veći su za 49,4% u odnosu na prethodnu godinu.</w:t>
      </w:r>
    </w:p>
    <w:p>
      <w:pPr>
        <w:pStyle w:val="Normal"/>
        <w:rPr>
          <w:color w:val="000000"/>
          <w:lang w:val="hr-HR"/>
        </w:rPr>
      </w:pPr>
      <w:r>
        <w:rPr>
          <w:color w:val="000000"/>
          <w:lang w:val="hr-HR"/>
        </w:rPr>
        <w:t>Tijekom 2024. godine Muzej je posjetilo 13847 posjetitelja.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lang w:val="hr-HR"/>
        </w:rPr>
      </w:pPr>
      <w:r>
        <w:rPr>
          <w:b/>
          <w:bCs/>
          <w:u w:val="single"/>
          <w:lang w:val="hr-HR"/>
        </w:rPr>
        <w:t>ŠIFRA 661 / PRIHODI OD PRODAJE ROBE I PRUŽENIH USLUGA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Na ovoj poziciji se radi o prihodima koje Muzej bilježi od vršenja usluga komisijske prodaje, literature HPMS-a kao i suvenira.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Ukupno čine oko </w:t>
      </w:r>
      <w:r>
        <w:rPr>
          <w:shd w:fill="FFFFFF" w:val="clear"/>
          <w:lang w:val="hr-HR"/>
        </w:rPr>
        <w:t>1,4</w:t>
      </w:r>
      <w:r>
        <w:rPr>
          <w:lang w:val="hr-HR"/>
        </w:rPr>
        <w:t>% ukupnih prihoda. Iako su ovi prihodi kao i prihodi od prodaje ulaznica u strukturi prihoda mali, kontinuirano rastu radi sve bogatije ponude u muzejskoj suvenirnici.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lang w:val="hr-HR"/>
        </w:rPr>
      </w:pPr>
      <w:r>
        <w:rPr>
          <w:b/>
          <w:bCs/>
          <w:u w:val="single"/>
          <w:lang w:val="hr-HR"/>
        </w:rPr>
        <w:t>ŠIFRA 671/ PRIHODI IZ NADLEŽNOG PRORAČUNA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Prihodi od nadležnog proračuna u 2024. godini ostvareni u iznosu od 484.196,21 EUR i to za:</w:t>
      </w:r>
    </w:p>
    <w:p>
      <w:pPr>
        <w:pStyle w:val="Normal"/>
        <w:numPr>
          <w:ilvl w:val="0"/>
          <w:numId w:val="7"/>
        </w:numPr>
        <w:rPr>
          <w:lang w:val="hr-HR"/>
        </w:rPr>
      </w:pPr>
      <w:r>
        <w:rPr>
          <w:lang w:val="hr-HR"/>
        </w:rPr>
        <w:t>rashode poslovanja ........................................................................375.444,82</w:t>
      </w:r>
    </w:p>
    <w:p>
      <w:pPr>
        <w:pStyle w:val="Normal"/>
        <w:numPr>
          <w:ilvl w:val="0"/>
          <w:numId w:val="7"/>
        </w:numPr>
        <w:rPr>
          <w:lang w:val="hr-HR"/>
        </w:rPr>
      </w:pPr>
      <w:r>
        <w:rPr>
          <w:lang w:val="hr-HR"/>
        </w:rPr>
        <w:t>za nabavu nefinancijske imovine...................................................108.751,39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Prihodi su veći za 49,2%. 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</w:t>
      </w:r>
    </w:p>
    <w:p>
      <w:pPr>
        <w:pStyle w:val="Normal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Bilješka</w:t>
      </w:r>
    </w:p>
    <w:p>
      <w:pPr>
        <w:pStyle w:val="Normal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ŠIFRA 3/ RASHODI POSLOVANJA</w:t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0" w:leader="none"/>
        </w:tabs>
        <w:rPr>
          <w:lang w:val="hr-HR"/>
        </w:rPr>
      </w:pPr>
      <w:r>
        <w:rPr>
          <w:b/>
          <w:bCs/>
          <w:lang w:val="hr-HR"/>
        </w:rPr>
        <w:t>UKUPNI RASHODI – RASHODI POSLOVANJA                    505.967,44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Rashodi poslovanja  u 2024. godini su ostvareni u iznosu od 505.967,44 EUR i veći su za 35,4% u odnosu na prethodnu godinu.</w:t>
      </w:r>
    </w:p>
    <w:p>
      <w:pPr>
        <w:pStyle w:val="Normal"/>
        <w:rPr>
          <w:lang w:val="hr-HR"/>
        </w:rPr>
      </w:pPr>
      <w:r>
        <w:rPr>
          <w:lang w:val="hr-HR"/>
        </w:rPr>
        <w:t>Struktura rashoda poslovanja dana je u donjoj tabeli: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tbl>
      <w:tblPr>
        <w:tblW w:w="720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20"/>
        <w:gridCol w:w="1995"/>
        <w:gridCol w:w="1575"/>
        <w:gridCol w:w="1424"/>
        <w:gridCol w:w="1186"/>
      </w:tblGrid>
      <w:tr>
        <w:trPr/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Račun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center"/>
              <w:rPr/>
            </w:pPr>
            <w:r>
              <w:rPr/>
              <w:t>2023.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center"/>
              <w:rPr/>
            </w:pPr>
            <w:r>
              <w:rPr/>
              <w:t>2024.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center"/>
              <w:rPr/>
            </w:pPr>
            <w:r>
              <w:rPr/>
              <w:t>IND 24/23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311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Bruto plaće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190.783,70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229.662,58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120,4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312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Ostali ras. za zap.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23.420,54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26.966,40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115,1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313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Doprinosi za plaće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31.479,38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37.894,38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120,4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321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Naknade tr. zaposlenima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13.490,69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14.170,74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105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322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Troš. mat i energije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17.433,05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21.682,15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124,4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323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Rashodi za usluge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86.832,32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159.254,90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183,40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324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Naknada troškova službenog puta osobama izvan Muzeja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1.983,50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2.215,65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111,7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329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Ostali rashodi poslovanja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7.474,83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12.944,35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173,2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343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Ostali financijski rashodi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771,81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1.176,29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152,4</w:t>
            </w:r>
          </w:p>
        </w:tc>
      </w:tr>
      <w:tr>
        <w:trPr/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Ukupno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373.669,82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505.967,44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135,4</w:t>
            </w:r>
          </w:p>
        </w:tc>
      </w:tr>
    </w:tbl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color w:val="FF0000"/>
          <w:lang w:val="hr-HR"/>
        </w:rPr>
      </w:pPr>
      <w:r>
        <w:rPr>
          <w:color w:val="FF0000"/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  <w:lang w:val="hr-HR"/>
        </w:rPr>
        <w:t>ŠIFRA 311 / PLAĆE BRUTO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Bruto plaće su veće zbog povećanja osnovice, a sve sukladno potpisanom Kolektivnom ugovoru.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lang w:val="hr-HR"/>
        </w:rPr>
      </w:pPr>
      <w:r>
        <w:rPr>
          <w:b/>
          <w:bCs/>
          <w:u w:val="single"/>
          <w:lang w:val="hr-HR"/>
        </w:rPr>
        <w:t>ŠIFRA 312 / OSTALI RASHODI ZA ZAPOSLENE</w:t>
      </w:r>
    </w:p>
    <w:p>
      <w:pPr>
        <w:pStyle w:val="Normal"/>
        <w:rPr>
          <w:lang w:val="hr-HR"/>
        </w:rPr>
      </w:pPr>
      <w:r>
        <w:rPr>
          <w:lang w:val="hr-HR"/>
        </w:rPr>
        <w:t>Ostali rashodi za zaposlene su veći za 15,1% prvenstveno zbog povećanja za topli obrok, a sve sukladno Kolektivnom ugovoru.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  <w:lang w:val="hr-HR"/>
        </w:rPr>
        <w:t>ŠIFRA 32 / MATERIJALNI RASHODI</w:t>
      </w:r>
    </w:p>
    <w:p>
      <w:pPr>
        <w:pStyle w:val="Normal"/>
        <w:rPr>
          <w:lang w:val="hr-HR"/>
        </w:rPr>
      </w:pPr>
      <w:r>
        <w:rPr>
          <w:lang w:val="hr-HR"/>
        </w:rPr>
        <w:t>Materijalni rashodi ostvareni su u iznosu od 210.267,76 EUR i veći su za 65,30%.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Materijalni rashodi rastu prvenstveno zbog izrazitog rasta rashoda za intelektualne usluge, (realizacija programa koje se financiraju iz izvora 541 SDŽ)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lang w:val="hr-HR"/>
        </w:rPr>
      </w:pPr>
      <w:r>
        <w:rPr>
          <w:b/>
          <w:bCs/>
          <w:u w:val="single"/>
          <w:lang w:val="hr-HR"/>
        </w:rPr>
        <w:t>ŠIFRA 321 / NAKNADE TROŠKOVA ZAPOSLENIMA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Naknade troškova zaposlenima su veće za 5% i imaju najmanji rast u odnosu na druge rashode.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  <w:lang w:val="hr-HR"/>
        </w:rPr>
        <w:t>ŠIFRA 323 / RASHODI ZA USLUGE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color w:val="FF0000"/>
        </w:rPr>
      </w:pPr>
      <w:r>
        <w:rPr>
          <w:lang w:val="hr-HR"/>
        </w:rPr>
        <w:t xml:space="preserve">Rashodi za usluge veći su za 83,4% zbog radova u Tvrđavi Gripe, a na rast ovih rashoda najveći utjecaj imaju povećani rashodi za intelektualne i ostale usluge. 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  <w:lang w:val="hr-HR"/>
        </w:rPr>
      </w:pPr>
      <w:r>
        <w:rPr>
          <w:color w:val="FF0000"/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  <w:lang w:val="hr-HR"/>
        </w:rPr>
        <w:t>ŠIFRA 329 / OSTALI NESPOMENUTI RASHODI POSLOVANJA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U 2024. ostvareni su veći za 73,2% prvenstveno zbog povećanja naknade članovima UV.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Cs/>
          <w:lang w:val="hr-HR"/>
        </w:rPr>
      </w:pPr>
      <w:r>
        <w:rPr>
          <w:b/>
          <w:bCs/>
          <w:lang w:val="hr-HR"/>
        </w:rPr>
        <w:t>Bilješka</w:t>
      </w:r>
    </w:p>
    <w:p>
      <w:pPr>
        <w:pStyle w:val="Normal"/>
        <w:rPr>
          <w:lang w:val="hr-HR"/>
        </w:rPr>
      </w:pPr>
      <w:r>
        <w:rPr>
          <w:b/>
          <w:bCs/>
          <w:u w:val="single"/>
          <w:lang w:val="hr-HR"/>
        </w:rPr>
        <w:t>ŠIFRA 4 / RASHODI ZA NABAVU NEFINANCIJSKE IMOVINE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Rashodi za nabavu nefinancijsku imovinu ostvareni su u iznosu od 81.101,38 EUR.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Struktura rashoda nefinancijske imovine dana je u donjoj tabeli.</w:t>
      </w:r>
    </w:p>
    <w:tbl>
      <w:tblPr>
        <w:tblW w:w="68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308"/>
        <w:gridCol w:w="2891"/>
        <w:gridCol w:w="2611"/>
      </w:tblGrid>
      <w:tr>
        <w:trPr/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Račun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jc w:val="center"/>
              <w:rPr/>
            </w:pPr>
            <w:r>
              <w:rPr/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center"/>
              <w:rPr/>
            </w:pPr>
            <w:r>
              <w:rPr/>
              <w:t>2024.</w:t>
            </w:r>
          </w:p>
        </w:tc>
      </w:tr>
      <w:tr>
        <w:trPr/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422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Postrojenja i oprema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22.961,38</w:t>
            </w:r>
          </w:p>
        </w:tc>
      </w:tr>
      <w:tr>
        <w:trPr/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424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Knjige i muzejski eksponati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12.385,00</w:t>
            </w:r>
          </w:p>
        </w:tc>
      </w:tr>
      <w:tr>
        <w:trPr/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425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Dodatna ulaganja na nef.im.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45.755,00</w:t>
            </w:r>
          </w:p>
        </w:tc>
      </w:tr>
      <w:tr>
        <w:trPr/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  <w:t>Ukupno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rPr/>
            </w:pPr>
            <w:r>
              <w:rPr/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jc w:val="right"/>
              <w:rPr/>
            </w:pPr>
            <w:r>
              <w:rPr/>
              <w:t>81.101,38</w:t>
            </w:r>
          </w:p>
        </w:tc>
      </w:tr>
    </w:tbl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U 2024. godini ovi rashodi su znatno porasli jer je Grad odobrio sredstva za uređenje Tvrđave Gripe, nabavku postrojenja i opreme kao i knjiga i muzejskih eksponata.</w:t>
      </w:r>
    </w:p>
    <w:p>
      <w:pPr>
        <w:pStyle w:val="Normal"/>
        <w:rPr>
          <w:lang w:val="hr-HR"/>
        </w:rPr>
      </w:pPr>
      <w:r>
        <w:rPr>
          <w:lang w:val="hr-HR"/>
        </w:rPr>
        <w:t>Pokrenuti su radovi na čuvaonici za odlaganje eksponata, izvršeni su nužni popravci na zgradi, te se krenulo s bojadisarskim radovima ograde, betoniranja parkinga ispred same Ustanove. Nabavljena su i nova računala, uredski namještaj kao i sva potrebna nužna oprema, ali i razni muzejski eksponati za obogaćivanje fundusa muzeja.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u w:val="single"/>
          <w:lang w:val="hr-HR"/>
        </w:rPr>
      </w:pPr>
      <w:r>
        <w:rPr>
          <w:b/>
          <w:u w:val="single"/>
          <w:lang w:val="hr-HR"/>
        </w:rPr>
        <w:t>FINANCIJSKI REZULTAT – VIŠAK / MANJAK</w:t>
      </w:r>
    </w:p>
    <w:p>
      <w:pPr>
        <w:pStyle w:val="Normal"/>
        <w:rPr>
          <w:b/>
          <w:u w:val="single"/>
          <w:lang w:val="hr-HR"/>
        </w:rPr>
      </w:pPr>
      <w:r>
        <w:rPr>
          <w:b/>
          <w:u w:val="single"/>
          <w:lang w:val="hr-HR"/>
        </w:rPr>
      </w:r>
    </w:p>
    <w:p>
      <w:pPr>
        <w:pStyle w:val="Normal"/>
        <w:rPr>
          <w:b/>
          <w:u w:val="single"/>
          <w:lang w:val="hr-HR"/>
        </w:rPr>
      </w:pPr>
      <w:r>
        <w:rPr>
          <w:b/>
          <w:u w:val="single"/>
          <w:lang w:val="hr-HR"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  <w:lang w:val="hr-HR"/>
        </w:rPr>
        <w:t>ŠIFRA X001/ VIŠAK PRIHODA POSLOVANJA</w:t>
      </w:r>
    </w:p>
    <w:p>
      <w:pPr>
        <w:pStyle w:val="Normal"/>
        <w:rPr>
          <w:b/>
          <w:u w:val="single"/>
          <w:lang w:val="hr-HR"/>
        </w:rPr>
      </w:pPr>
      <w:r>
        <w:rPr>
          <w:lang w:val="hr-HR"/>
        </w:rPr>
        <w:t>U 2024. godini ostvaren je višak prihoda poslovanja u iznosu od 78.071,33 EUR.</w:t>
      </w:r>
    </w:p>
    <w:p>
      <w:pPr>
        <w:pStyle w:val="Normal"/>
        <w:rPr>
          <w:b/>
          <w:u w:val="single"/>
          <w:lang w:val="hr-HR"/>
        </w:rPr>
      </w:pPr>
      <w:r>
        <w:rPr>
          <w:b/>
          <w:u w:val="single"/>
          <w:lang w:val="hr-HR"/>
        </w:rPr>
      </w:r>
    </w:p>
    <w:p>
      <w:pPr>
        <w:pStyle w:val="Normal"/>
        <w:rPr>
          <w:b/>
          <w:u w:val="single"/>
          <w:lang w:val="hr-HR"/>
        </w:rPr>
      </w:pPr>
      <w:r>
        <w:rPr>
          <w:b/>
          <w:u w:val="single"/>
          <w:lang w:val="hr-HR"/>
        </w:rPr>
        <w:t>Bilješka</w:t>
      </w:r>
    </w:p>
    <w:p>
      <w:pPr>
        <w:pStyle w:val="Normal"/>
        <w:rPr>
          <w:b/>
          <w:u w:val="single"/>
          <w:lang w:val="hr-HR"/>
        </w:rPr>
      </w:pPr>
      <w:r>
        <w:rPr>
          <w:b/>
          <w:bCs/>
          <w:u w:val="single"/>
          <w:lang w:val="hr-HR"/>
        </w:rPr>
        <w:t>ŠIFRA Y002/ MANJAK PRIHODA OD NEFINANCIJSKE IMOVINE</w:t>
      </w:r>
    </w:p>
    <w:p>
      <w:pPr>
        <w:pStyle w:val="Normal"/>
        <w:rPr>
          <w:b/>
          <w:u w:val="single"/>
          <w:lang w:val="hr-HR"/>
        </w:rPr>
      </w:pPr>
      <w:r>
        <w:rPr>
          <w:lang w:val="hr-HR"/>
        </w:rPr>
        <w:t>Manjak prihoda u 2024. godini ostvaren je u iznosu od 81.101, 38 EUR.</w:t>
      </w:r>
    </w:p>
    <w:p>
      <w:pPr>
        <w:pStyle w:val="Normal"/>
        <w:rPr>
          <w:b/>
          <w:u w:val="single"/>
          <w:lang w:val="hr-HR"/>
        </w:rPr>
      </w:pPr>
      <w:r>
        <w:rPr>
          <w:lang w:val="hr-HR"/>
        </w:rPr>
        <w:t xml:space="preserve"> </w:t>
      </w:r>
    </w:p>
    <w:p>
      <w:pPr>
        <w:pStyle w:val="Normal"/>
        <w:rPr>
          <w:b/>
          <w:u w:val="single"/>
          <w:lang w:val="hr-HR"/>
        </w:rPr>
      </w:pPr>
      <w:r>
        <w:rPr>
          <w:b/>
          <w:u w:val="single"/>
          <w:lang w:val="hr-HR"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  <w:lang w:val="hr-HR"/>
        </w:rPr>
        <w:t>VIŠAK  PRIHODA I PRIMITAKA</w:t>
      </w:r>
    </w:p>
    <w:p>
      <w:pPr>
        <w:pStyle w:val="Normal"/>
        <w:rPr>
          <w:b/>
          <w:u w:val="single"/>
          <w:lang w:val="hr-HR"/>
        </w:rPr>
      </w:pPr>
      <w:r>
        <w:rPr>
          <w:lang w:val="hr-HR"/>
        </w:rPr>
        <w:t>Kao rezultat razlike između viška prihoda poslovanja i manjka prihoda nefinancijske imovine u 2024. godini iskazan je ukupni manjak u iznosu od 3.030,05 EUR, te je zajedno sa prenesenim viškom iz prethodne godine u iznosu od 1.885,22 EUR  iskazan ukupni manjak za prijenos u sljedeću godinu od 1.144,83 EUR. (ŠIFRA Y006)</w:t>
      </w:r>
    </w:p>
    <w:p>
      <w:pPr>
        <w:pStyle w:val="Normal"/>
        <w:rPr>
          <w:b/>
          <w:u w:val="single"/>
          <w:lang w:val="hr-HR"/>
        </w:rPr>
      </w:pPr>
      <w:r>
        <w:rPr>
          <w:b/>
          <w:u w:val="single"/>
          <w:lang w:val="hr-HR"/>
        </w:rPr>
      </w:r>
    </w:p>
    <w:p>
      <w:pPr>
        <w:pStyle w:val="Normal"/>
        <w:rPr/>
      </w:pPr>
      <w:r>
        <w:rPr>
          <w:lang w:val="hr-HR"/>
        </w:rPr>
        <w:t>Preneseni višak prihoda iz prethodne godine u iznosu od 1.885,22 EUR rezultat je ispravljene greške iz prethodnih godina budući da nisu bili evidentirani rashodi u iznosu od 9.736,82 EUR. Iz tog razloga se i preneseni višak prihoda iz prethodne godine razlikuje od iznosa iskazanog o financijskom izvještaju za 2023. godinu.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u w:val="single"/>
          <w:lang w:val="hr-HR"/>
        </w:rPr>
      </w:pPr>
      <w:r>
        <w:rPr>
          <w:b/>
          <w:u w:val="single"/>
          <w:lang w:val="hr-HR"/>
        </w:rPr>
      </w:r>
    </w:p>
    <w:p>
      <w:pPr>
        <w:pStyle w:val="BodyText"/>
        <w:rPr>
          <w:i w:val="false"/>
          <w:i w:val="false"/>
          <w:iCs w:val="false"/>
        </w:rPr>
      </w:pPr>
      <w:r>
        <w:rPr>
          <w:i w:val="false"/>
          <w:iCs w:val="false"/>
        </w:rPr>
        <w:t>OBRAZAC OBVEZE</w:t>
      </w:r>
    </w:p>
    <w:p>
      <w:pPr>
        <w:pStyle w:val="BodyTex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BodyTex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Obveze su iskazane u iznosu od 34, 227,13 EUR, i sve su na dan 31.12.2024. nedospjele.</w:t>
      </w:r>
    </w:p>
    <w:p>
      <w:pPr>
        <w:pStyle w:val="BodyTex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Iskazane obveze odgovaraju iznosu u obrascu Bilanca.</w:t>
      </w:r>
    </w:p>
    <w:p>
      <w:pPr>
        <w:pStyle w:val="BodyTex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BodyTex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BodyText"/>
        <w:rPr>
          <w:i w:val="false"/>
          <w:i w:val="false"/>
          <w:iCs w:val="false"/>
        </w:rPr>
      </w:pPr>
      <w:r>
        <w:rPr>
          <w:i w:val="false"/>
          <w:iCs w:val="false"/>
        </w:rPr>
        <w:t>OBRAZAC RAS – funkcijski</w:t>
      </w:r>
    </w:p>
    <w:p>
      <w:pPr>
        <w:pStyle w:val="BodyTex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Po funkcijskoj klasifikaciji iskazano je </w:t>
      </w:r>
      <w:r>
        <w:rPr>
          <w:b w:val="false"/>
          <w:bCs w:val="false"/>
          <w:i w:val="false"/>
          <w:iCs w:val="false"/>
          <w:color w:val="000000"/>
        </w:rPr>
        <w:t xml:space="preserve">587.068,82 EUR </w:t>
      </w:r>
      <w:r>
        <w:rPr>
          <w:b w:val="false"/>
          <w:bCs w:val="false"/>
          <w:i w:val="false"/>
          <w:iCs w:val="false"/>
        </w:rPr>
        <w:t>rashoda.</w:t>
      </w:r>
    </w:p>
    <w:p>
      <w:pPr>
        <w:pStyle w:val="BodyTex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BodyTex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OBRAZAC BILANCA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ŠIFRA B002/  NEFINANCIJSKA IMOVINA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Ukupna vrijednost nefinancijske imovine u iznosu od 271.876,11 EUR na dan 31.12.2024. godine veća je za 31,7%, zbog povećanih ulaganja u nefinancijsku imovinu u 2024. godini.</w:t>
      </w:r>
    </w:p>
    <w:p>
      <w:pPr>
        <w:pStyle w:val="Normal"/>
        <w:rPr/>
      </w:pPr>
      <w:r>
        <w:rPr/>
        <w:t>Ulaganja u nefinancijsku imovinu dano je u bilješkama obrasca PRRAS.</w:t>
      </w:r>
    </w:p>
    <w:p>
      <w:pPr>
        <w:pStyle w:val="Normal"/>
        <w:rPr/>
      </w:pPr>
      <w:r>
        <w:rPr/>
        <w:t>Ispravak vrijednosti dugotrajne imovine proveden je primjenom propisanih stopa.</w:t>
      </w:r>
    </w:p>
    <w:p>
      <w:pPr>
        <w:pStyle w:val="Normal"/>
        <w:rPr/>
      </w:pPr>
      <w:r>
        <w:rPr/>
        <w:t>Sitan inventar nabavljen je u vrijednosti 13.270,43 EUR i veći je za 44,2% u odnosu na prethodnu godinu.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ŠIFRA 1/ FINANCIJSKA IMOVINA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Financijska imovina sastoji se od sredstava: </w:t>
      </w:r>
    </w:p>
    <w:p>
      <w:pPr>
        <w:pStyle w:val="Normal"/>
        <w:numPr>
          <w:ilvl w:val="0"/>
          <w:numId w:val="8"/>
        </w:numPr>
        <w:rPr/>
      </w:pPr>
      <w:r>
        <w:rPr/>
        <w:t>žiro račun</w:t>
        <w:tab/>
        <w:tab/>
        <w:tab/>
        <w:tab/>
        <w:tab/>
        <w:tab/>
        <w:t>29.953,15</w:t>
      </w:r>
    </w:p>
    <w:p>
      <w:pPr>
        <w:pStyle w:val="Normal"/>
        <w:numPr>
          <w:ilvl w:val="0"/>
          <w:numId w:val="8"/>
        </w:numPr>
        <w:rPr/>
      </w:pPr>
      <w:r>
        <w:rPr/>
        <w:t>sredstva u blagajni</w:t>
        <w:tab/>
        <w:tab/>
        <w:tab/>
        <w:tab/>
        <w:tab/>
        <w:t xml:space="preserve">  1.321,50</w:t>
      </w:r>
    </w:p>
    <w:p>
      <w:pPr>
        <w:pStyle w:val="Normal"/>
        <w:numPr>
          <w:ilvl w:val="0"/>
          <w:numId w:val="8"/>
        </w:numPr>
        <w:rPr/>
      </w:pPr>
      <w:r>
        <w:rPr/>
        <w:t>ost. potraživanja-refundacija bolovanja</w:t>
        <w:tab/>
        <w:tab/>
        <w:t xml:space="preserve">  1.807,65</w:t>
      </w:r>
    </w:p>
    <w:p>
      <w:pPr>
        <w:pStyle w:val="Normal"/>
        <w:ind w:left="780"/>
        <w:rPr/>
      </w:pPr>
      <w:r>
        <w:rPr/>
      </w:r>
    </w:p>
    <w:p>
      <w:pPr>
        <w:pStyle w:val="Normal"/>
        <w:rPr/>
      </w:pPr>
      <w:r>
        <w:rPr/>
        <w:t>Za napomenuti je da nema nikakvih potraživanja za prihode i sva su potraživanja sa danom 31.12.2024. godine naplaćena.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ŠIFRA 2/ OBVEZE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Iskazane su obveze u iznosu od 34.227,13 EUR, a odnose se na rashode poslovanja i nabavku nefinancijske imovine.</w:t>
      </w:r>
    </w:p>
    <w:p>
      <w:pPr>
        <w:pStyle w:val="Normal"/>
        <w:rPr/>
      </w:pPr>
      <w:r>
        <w:rPr/>
        <w:t>Navedene obveze su nedospjele.</w:t>
      </w:r>
    </w:p>
    <w:p>
      <w:pPr>
        <w:pStyle w:val="Normal"/>
        <w:rPr/>
      </w:pPr>
      <w:r>
        <w:rPr/>
        <w:t>Sve navedene obveze bit će podmirene već u siječnju 2025. godine.</w:t>
      </w:r>
    </w:p>
    <w:p>
      <w:pPr>
        <w:pStyle w:val="Normal"/>
        <w:rPr/>
      </w:pPr>
      <w:r>
        <w:rPr/>
        <w:t xml:space="preserve">Obveze su u odnosu na prethodnu godinu povećane za 33,3% i to zbog rasta obveza za plaće za mjesec prosinac. Obveze za materijalne rashode su smanjene u odnosu na prethodnu godiunu i iznose svega 4.227,02 EUR, a odnose se na rashode u prosincu 2024. godine koje će Grad podmiriti u siječnju 2025. godine.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Struktura obveza je sljedeća:</w:t>
      </w:r>
    </w:p>
    <w:p>
      <w:pPr>
        <w:pStyle w:val="Normal"/>
        <w:rPr/>
      </w:pPr>
      <w:r>
        <w:rPr/>
      </w:r>
    </w:p>
    <w:tbl>
      <w:tblPr>
        <w:tblW w:w="459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068"/>
        <w:gridCol w:w="1521"/>
      </w:tblGrid>
      <w:tr>
        <w:trPr>
          <w:trHeight w:val="286" w:hRule="atLeast"/>
        </w:trPr>
        <w:tc>
          <w:tcPr>
            <w:tcW w:w="3068" w:type="dxa"/>
            <w:tcBorders/>
          </w:tcPr>
          <w:p>
            <w:pPr>
              <w:pStyle w:val="Sadrajitablice"/>
              <w:rPr/>
            </w:pPr>
            <w:r>
              <w:rPr/>
              <w:t>Obveze za zaposlene 12/24</w:t>
            </w:r>
          </w:p>
        </w:tc>
        <w:tc>
          <w:tcPr>
            <w:tcW w:w="1521" w:type="dxa"/>
            <w:tcBorders/>
          </w:tcPr>
          <w:p>
            <w:pPr>
              <w:pStyle w:val="Sadrajitablice"/>
              <w:jc w:val="right"/>
              <w:rPr/>
            </w:pPr>
            <w:r>
              <w:rPr/>
              <w:t>24.188,29</w:t>
            </w:r>
          </w:p>
        </w:tc>
      </w:tr>
      <w:tr>
        <w:trPr/>
        <w:tc>
          <w:tcPr>
            <w:tcW w:w="3068" w:type="dxa"/>
            <w:tcBorders/>
          </w:tcPr>
          <w:p>
            <w:pPr>
              <w:pStyle w:val="Sadrajitablice"/>
              <w:rPr/>
            </w:pPr>
            <w:r>
              <w:rPr/>
              <w:t>Obveze za materijalne rashode</w:t>
            </w:r>
          </w:p>
        </w:tc>
        <w:tc>
          <w:tcPr>
            <w:tcW w:w="1521" w:type="dxa"/>
            <w:tcBorders/>
          </w:tcPr>
          <w:p>
            <w:pPr>
              <w:pStyle w:val="Sadrajitablice"/>
              <w:jc w:val="right"/>
              <w:rPr/>
            </w:pPr>
            <w:r>
              <w:rPr/>
              <w:t>4.227,02</w:t>
            </w:r>
          </w:p>
        </w:tc>
      </w:tr>
      <w:tr>
        <w:trPr/>
        <w:tc>
          <w:tcPr>
            <w:tcW w:w="3068" w:type="dxa"/>
            <w:tcBorders/>
          </w:tcPr>
          <w:p>
            <w:pPr>
              <w:pStyle w:val="Sadrajitablice"/>
              <w:rPr/>
            </w:pPr>
            <w:r>
              <w:rPr/>
              <w:t>Obveze za financijske rashode</w:t>
            </w:r>
          </w:p>
        </w:tc>
        <w:tc>
          <w:tcPr>
            <w:tcW w:w="1521" w:type="dxa"/>
            <w:tcBorders/>
          </w:tcPr>
          <w:p>
            <w:pPr>
              <w:pStyle w:val="Sadrajitablice"/>
              <w:jc w:val="right"/>
              <w:rPr/>
            </w:pPr>
            <w:r>
              <w:rPr/>
              <w:t>139,32</w:t>
            </w:r>
          </w:p>
        </w:tc>
      </w:tr>
      <w:tr>
        <w:trPr/>
        <w:tc>
          <w:tcPr>
            <w:tcW w:w="3068" w:type="dxa"/>
            <w:tcBorders/>
          </w:tcPr>
          <w:p>
            <w:pPr>
              <w:pStyle w:val="Sadrajitablice"/>
              <w:rPr/>
            </w:pPr>
            <w:r>
              <w:rPr/>
              <w:t>Ostale tekuće obveze-nef.imov.</w:t>
            </w:r>
          </w:p>
        </w:tc>
        <w:tc>
          <w:tcPr>
            <w:tcW w:w="1521" w:type="dxa"/>
            <w:tcBorders/>
          </w:tcPr>
          <w:p>
            <w:pPr>
              <w:pStyle w:val="Sadrajitablice"/>
              <w:jc w:val="right"/>
              <w:rPr/>
            </w:pPr>
            <w:r>
              <w:rPr/>
              <w:t>5.672,50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Bilješka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ŠIFRA 922/ VIŠAK / MANJAK PRIHODA</w:t>
      </w:r>
    </w:p>
    <w:p>
      <w:pPr>
        <w:pStyle w:val="Normal"/>
        <w:rPr/>
      </w:pPr>
      <w:r>
        <w:rPr/>
        <w:t xml:space="preserve"> </w:t>
      </w:r>
      <w:r>
        <w:rPr/>
        <w:t>Nakon provedenih obveznih korekcija iskazan je manjak prihoda u iznosu od 1.144,83 EUR i rezultat je manjka prihoda poslovanja u iznosu od 26.818,49 EUR i viška prihoda od nefinancijske imovine u iznosu od 25.673,66 EUR.</w:t>
      </w:r>
    </w:p>
    <w:p>
      <w:pPr>
        <w:pStyle w:val="Normal"/>
        <w:rPr/>
      </w:pPr>
      <w:r>
        <w:rPr/>
        <w:t>Korekcija je napravljena za iznos kapitalnog prijenosa iz nadležnog proračuna u iznosu od 108.751,39 EUR, a višak je iskazan iz razloga što smo ovim sredstvima pokrili samo rashod iz klase 4, a odlukom o raspodijeli ćemo pokriti i rashode koji su se odnosili na tekuće investicijsko održavanje građevine i opreme račun 3232.</w:t>
      </w:r>
    </w:p>
    <w:p>
      <w:pPr>
        <w:pStyle w:val="Normal"/>
        <w:rPr/>
      </w:pPr>
      <w:r>
        <w:rPr/>
        <w:t>Iskazani manjak je zapravo rezultat metodološkog manjka iz Grada, budući da se rashodi za prosinac 2024. godine podmiruju u siječnju 2025. godine, a Ustanova je stvarno poslovala sa viškom vlastitih i namjenskih prihoda u 2024. godini.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Bilješka</w:t>
      </w:r>
    </w:p>
    <w:p>
      <w:pPr>
        <w:pStyle w:val="Normal"/>
        <w:rPr>
          <w:u w:val="single"/>
        </w:rPr>
      </w:pPr>
      <w:r>
        <w:rPr>
          <w:b/>
          <w:bCs/>
          <w:u w:val="single"/>
          <w:lang w:val="hr-HR"/>
        </w:rPr>
        <w:t>ŠIFRA 99 – IZVANBILANČNA EVIDENCIJA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U izvanbilančnom zapisu ima evidentiran iznos od 3.000,00 EUR, a odnosi se na korištenje kopirnog stroja koji je u najmu.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BodyTex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</w:t>
      </w:r>
    </w:p>
    <w:p>
      <w:pPr>
        <w:pStyle w:val="BodyTex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BodyTex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BodyTex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Split, 29. siječnja 2024.</w:t>
      </w:r>
    </w:p>
    <w:p>
      <w:pPr>
        <w:pStyle w:val="BodyTex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BodyText"/>
        <w:jc w:val="right"/>
        <w:rPr>
          <w:b w:val="false"/>
          <w:bCs w:val="false"/>
          <w:i w:val="false"/>
          <w:i w:val="false"/>
          <w:iCs w:val="false"/>
          <w:u w:val="singl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                                     </w:t>
      </w:r>
    </w:p>
    <w:p>
      <w:pPr>
        <w:pStyle w:val="BodyText"/>
        <w:jc w:val="right"/>
        <w:rPr>
          <w:b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                                                                                               </w:t>
      </w:r>
      <w:r>
        <w:rPr>
          <w:b w:val="false"/>
          <w:i w:val="false"/>
          <w:iCs w:val="false"/>
        </w:rPr>
        <w:t xml:space="preserve">                    </w:t>
      </w:r>
      <w:r>
        <w:rPr>
          <w:b w:val="false"/>
          <w:i w:val="false"/>
          <w:iCs w:val="false"/>
        </w:rPr>
        <w:t xml:space="preserve">Ravnatelj </w:t>
      </w:r>
    </w:p>
    <w:p>
      <w:pPr>
        <w:pStyle w:val="BodyText"/>
        <w:jc w:val="right"/>
        <w:rPr>
          <w:b w:val="false"/>
          <w:i w:val="false"/>
          <w:i w:val="false"/>
          <w:iCs w:val="false"/>
        </w:rPr>
      </w:pPr>
      <w:r>
        <w:rPr>
          <w:b w:val="false"/>
          <w:i w:val="false"/>
          <w:iCs w:val="false"/>
        </w:rPr>
        <w:t>Ljubomir Radić</w:t>
      </w:r>
    </w:p>
    <w:p>
      <w:pPr>
        <w:pStyle w:val="BodyText"/>
        <w:jc w:val="right"/>
        <w:rPr>
          <w:b w:val="false"/>
          <w:i w:val="false"/>
          <w:i w:val="false"/>
          <w:iCs w:val="false"/>
        </w:rPr>
      </w:pPr>
      <w:r>
        <w:rPr>
          <w:b w:val="false"/>
          <w:i w:val="false"/>
          <w:iCs w:val="false"/>
        </w:rPr>
      </w:r>
    </w:p>
    <w:p>
      <w:pPr>
        <w:pStyle w:val="BodyTex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4637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Naslov1Char"/>
    <w:qFormat/>
    <w:rsid w:val="00544637"/>
    <w:pPr>
      <w:keepNext w:val="true"/>
      <w:outlineLvl w:val="0"/>
    </w:pPr>
    <w:rPr>
      <w:b/>
      <w:bCs/>
      <w:u w:val="single"/>
      <w:lang w:val="hr-HR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544637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544637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qFormat/>
    <w:rsid w:val="00544637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styleId="Naslov3Char" w:customStyle="1">
    <w:name w:val="Naslov 3 Char"/>
    <w:basedOn w:val="DefaultParagraphFont"/>
    <w:uiPriority w:val="9"/>
    <w:semiHidden/>
    <w:qFormat/>
    <w:rsid w:val="00544637"/>
    <w:rPr>
      <w:rFonts w:ascii="Cambria" w:hAnsi="Cambria" w:eastAsia="Times New Roman" w:cs="Times New Roman"/>
      <w:b/>
      <w:bCs/>
      <w:sz w:val="26"/>
      <w:szCs w:val="26"/>
      <w:lang w:val="en-GB"/>
    </w:rPr>
  </w:style>
  <w:style w:type="character" w:styleId="Naslov4Char" w:customStyle="1">
    <w:name w:val="Naslov 4 Char"/>
    <w:basedOn w:val="DefaultParagraphFont"/>
    <w:uiPriority w:val="9"/>
    <w:semiHidden/>
    <w:qFormat/>
    <w:rsid w:val="00544637"/>
    <w:rPr>
      <w:rFonts w:ascii="Calibri" w:hAnsi="Calibri" w:eastAsia="Times New Roman" w:cs="Times New Roman"/>
      <w:b/>
      <w:bCs/>
      <w:sz w:val="28"/>
      <w:szCs w:val="28"/>
      <w:lang w:val="en-GB"/>
    </w:rPr>
  </w:style>
  <w:style w:type="character" w:styleId="Hiperveza1" w:customStyle="1">
    <w:name w:val="Hiperveza1"/>
    <w:qFormat/>
    <w:rsid w:val="00544637"/>
    <w:rPr>
      <w:color w:val="0000FF"/>
      <w:u w:val="single"/>
    </w:rPr>
  </w:style>
  <w:style w:type="character" w:styleId="NaslovChar" w:customStyle="1">
    <w:name w:val="Naslov Char"/>
    <w:basedOn w:val="DefaultParagraphFont"/>
    <w:qFormat/>
    <w:rsid w:val="00544637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ijelotekstaChar" w:customStyle="1">
    <w:name w:val="Tijelo teksta Char"/>
    <w:basedOn w:val="DefaultParagraphFont"/>
    <w:qFormat/>
    <w:rsid w:val="00544637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TekstbaloniaChar" w:customStyle="1">
    <w:name w:val="Tekst balončića Char"/>
    <w:basedOn w:val="DefaultParagraphFont"/>
    <w:link w:val="BalloonText"/>
    <w:qFormat/>
    <w:rsid w:val="00544637"/>
    <w:rPr>
      <w:rFonts w:ascii="Tahoma" w:hAnsi="Tahoma" w:eastAsia="Times New Roman" w:cs="Tahoma"/>
      <w:sz w:val="16"/>
      <w:szCs w:val="16"/>
      <w:lang w:val="en-GB"/>
    </w:rPr>
  </w:style>
  <w:style w:type="character" w:styleId="Simbolinumeriranja" w:customStyle="1">
    <w:name w:val="Simboli numeriranja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Stilnaslova" w:customStyle="1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ijelotekstaChar"/>
    <w:rsid w:val="00544637"/>
    <w:pPr/>
    <w:rPr>
      <w:b/>
      <w:bCs/>
      <w:i/>
      <w:iCs/>
      <w:lang w:val="hr-HR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le">
    <w:name w:val="Title"/>
    <w:basedOn w:val="Normal"/>
    <w:link w:val="NaslovChar"/>
    <w:qFormat/>
    <w:rsid w:val="00544637"/>
    <w:pPr>
      <w:jc w:val="center"/>
    </w:pPr>
    <w:rPr>
      <w:b/>
      <w:bCs/>
      <w:lang w:val="hr-HR"/>
    </w:rPr>
  </w:style>
  <w:style w:type="paragraph" w:styleId="ListParagraph">
    <w:name w:val="List Paragraph"/>
    <w:basedOn w:val="Normal"/>
    <w:qFormat/>
    <w:rsid w:val="00544637"/>
    <w:pPr>
      <w:ind w:left="720"/>
    </w:pPr>
    <w:rPr/>
  </w:style>
  <w:style w:type="paragraph" w:styleId="BalloonText">
    <w:name w:val="Balloon Text"/>
    <w:basedOn w:val="Normal"/>
    <w:link w:val="TekstbaloniaChar"/>
    <w:qFormat/>
    <w:rsid w:val="00544637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637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adrajitablice" w:customStyle="1">
    <w:name w:val="Sadržaji tablice"/>
    <w:basedOn w:val="Normal"/>
    <w:qFormat/>
    <w:pPr>
      <w:widowControl w:val="false"/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544637"/>
    <w:rPr>
      <w:lang w:eastAsia="hr-H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hpms.hr/index.ph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LibreOffice/24.2.3.2$Windows_X86_64 LibreOffice_project/433d9c2ded56988e8a90e6b2e771ee4e6a5ab2ba</Application>
  <AppVersion>15.0000</AppVersion>
  <Pages>16</Pages>
  <Words>1865</Words>
  <Characters>11335</Characters>
  <CharactersWithSpaces>13909</CharactersWithSpaces>
  <Paragraphs>278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2025-01-29T07:33:00Z</dcterms:created>
  <dc:creator>Windows User</dc:creator>
  <dc:description/>
  <dc:language>hr-HR</dc:language>
  <cp:lastModifiedBy>Hrvatski Pomorski muzej Split HPMS</cp:lastModifiedBy>
  <cp:lastPrinted>2025-01-28T10:03:00Z</cp:lastPrinted>
  <dcterms:modified xsi:type="dcterms:W3CDTF">2025-01-29T07:33:00Z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